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15D2" w14:textId="77777777" w:rsidR="00FE067E" w:rsidRDefault="003C6034" w:rsidP="001226A0">
      <w:pPr>
        <w:pStyle w:val="TitlePageOrigin"/>
      </w:pPr>
      <w:r>
        <w:rPr>
          <w:caps w:val="0"/>
        </w:rPr>
        <w:t>WEST VIRGINIA LEGISLATURE</w:t>
      </w:r>
    </w:p>
    <w:p w14:paraId="11D3F7C7" w14:textId="6125C31A" w:rsidR="00CD36CF" w:rsidRDefault="00CD36CF" w:rsidP="00CC1F3B">
      <w:pPr>
        <w:pStyle w:val="TitlePageSession"/>
      </w:pPr>
      <w:r>
        <w:t>20</w:t>
      </w:r>
      <w:r w:rsidR="00EC5E63">
        <w:t>2</w:t>
      </w:r>
      <w:r w:rsidR="0020151F">
        <w:t>6</w:t>
      </w:r>
      <w:r>
        <w:t xml:space="preserve"> </w:t>
      </w:r>
      <w:r w:rsidR="003C6034">
        <w:rPr>
          <w:caps w:val="0"/>
        </w:rPr>
        <w:t>REGULAR SESSION</w:t>
      </w:r>
      <w:r w:rsidR="005E1971">
        <w:rPr>
          <w:noProof/>
        </w:rPr>
        <mc:AlternateContent>
          <mc:Choice Requires="wps">
            <w:drawing>
              <wp:anchor distT="0" distB="0" distL="114300" distR="114300" simplePos="0" relativeHeight="251659264" behindDoc="0" locked="0" layoutInCell="1" allowOverlap="1" wp14:anchorId="00BAA247" wp14:editId="7D137906">
                <wp:simplePos x="0" y="0"/>
                <wp:positionH relativeFrom="column">
                  <wp:posOffset>6007100</wp:posOffset>
                </wp:positionH>
                <wp:positionV relativeFrom="paragraph">
                  <wp:posOffset>1617980</wp:posOffset>
                </wp:positionV>
                <wp:extent cx="635000" cy="476250"/>
                <wp:effectExtent l="0" t="0" r="12700" b="19050"/>
                <wp:wrapNone/>
                <wp:docPr id="11097731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700367C" w14:textId="7F9A5525" w:rsidR="005E1971" w:rsidRPr="005E1971" w:rsidRDefault="005E1971" w:rsidP="005E1971">
                            <w:pPr>
                              <w:spacing w:line="240" w:lineRule="auto"/>
                              <w:jc w:val="center"/>
                              <w:rPr>
                                <w:rFonts w:cs="Arial"/>
                                <w:b/>
                              </w:rPr>
                            </w:pPr>
                            <w:r w:rsidRPr="005E197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BAA24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700367C" w14:textId="7F9A5525" w:rsidR="005E1971" w:rsidRPr="005E1971" w:rsidRDefault="005E1971" w:rsidP="005E1971">
                      <w:pPr>
                        <w:spacing w:line="240" w:lineRule="auto"/>
                        <w:jc w:val="center"/>
                        <w:rPr>
                          <w:rFonts w:cs="Arial"/>
                          <w:b/>
                        </w:rPr>
                      </w:pPr>
                      <w:r w:rsidRPr="005E1971">
                        <w:rPr>
                          <w:rFonts w:cs="Arial"/>
                          <w:b/>
                        </w:rPr>
                        <w:t>FISCAL NOTE</w:t>
                      </w:r>
                    </w:p>
                  </w:txbxContent>
                </v:textbox>
              </v:shape>
            </w:pict>
          </mc:Fallback>
        </mc:AlternateContent>
      </w:r>
    </w:p>
    <w:p w14:paraId="0BD542A5" w14:textId="77777777" w:rsidR="00CD36CF" w:rsidRDefault="003E00C8" w:rsidP="00CC1F3B">
      <w:pPr>
        <w:pStyle w:val="TitlePageBillPrefix"/>
      </w:pPr>
      <w:sdt>
        <w:sdtPr>
          <w:tag w:val="IntroDate"/>
          <w:id w:val="-1236936958"/>
          <w:placeholder>
            <w:docPart w:val="A1E60B38803748ED9211147FCD0E1EE4"/>
          </w:placeholder>
          <w:text/>
        </w:sdtPr>
        <w:sdtEndPr/>
        <w:sdtContent>
          <w:r w:rsidR="00AE48A0">
            <w:t>Introduced</w:t>
          </w:r>
        </w:sdtContent>
      </w:sdt>
    </w:p>
    <w:p w14:paraId="0F6A7402" w14:textId="70064127" w:rsidR="00CD36CF" w:rsidRDefault="003E00C8" w:rsidP="00CC1F3B">
      <w:pPr>
        <w:pStyle w:val="BillNumber"/>
      </w:pPr>
      <w:sdt>
        <w:sdtPr>
          <w:tag w:val="Chamber"/>
          <w:id w:val="893011969"/>
          <w:lock w:val="sdtLocked"/>
          <w:placeholder>
            <w:docPart w:val="67F652A6024740159A6E28C6F5A8B4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1712A7E3DE54284B14F11AD508A458B"/>
          </w:placeholder>
          <w:text/>
        </w:sdtPr>
        <w:sdtEndPr/>
        <w:sdtContent>
          <w:r>
            <w:t>5057</w:t>
          </w:r>
        </w:sdtContent>
      </w:sdt>
    </w:p>
    <w:p w14:paraId="01F12FD2" w14:textId="6C9788F6" w:rsidR="00CD36CF" w:rsidRDefault="00CD36CF" w:rsidP="00CC1F3B">
      <w:pPr>
        <w:pStyle w:val="Sponsors"/>
      </w:pPr>
      <w:r>
        <w:t xml:space="preserve">By </w:t>
      </w:r>
      <w:sdt>
        <w:sdtPr>
          <w:tag w:val="Sponsors"/>
          <w:id w:val="1589585889"/>
          <w:placeholder>
            <w:docPart w:val="203C00AF259148DE8CF53FF843B5E069"/>
          </w:placeholder>
          <w:text w:multiLine="1"/>
        </w:sdtPr>
        <w:sdtEndPr/>
        <w:sdtContent>
          <w:r w:rsidR="001675F1">
            <w:t>Delegate</w:t>
          </w:r>
          <w:r w:rsidR="004C4B17">
            <w:t>s</w:t>
          </w:r>
          <w:r w:rsidR="001675F1">
            <w:t xml:space="preserve"> Toney</w:t>
          </w:r>
          <w:r w:rsidR="004C4B17">
            <w:t xml:space="preserve"> and Roop</w:t>
          </w:r>
        </w:sdtContent>
      </w:sdt>
    </w:p>
    <w:p w14:paraId="1CC43C85" w14:textId="4B0F9B8B" w:rsidR="00E831B3" w:rsidRDefault="00CD36CF" w:rsidP="00CC1F3B">
      <w:pPr>
        <w:pStyle w:val="References"/>
      </w:pPr>
      <w:r>
        <w:t>[</w:t>
      </w:r>
      <w:sdt>
        <w:sdtPr>
          <w:tag w:val="References"/>
          <w:id w:val="-1043047873"/>
          <w:placeholder>
            <w:docPart w:val="00326E3572594195BC9C50BE9390FDF1"/>
          </w:placeholder>
          <w:text w:multiLine="1"/>
        </w:sdtPr>
        <w:sdtEndPr/>
        <w:sdtContent>
          <w:r w:rsidR="003E00C8">
            <w:t>Introduced February 02, 2026; referred to the Committee on Health and Human Resources then Finance</w:t>
          </w:r>
        </w:sdtContent>
      </w:sdt>
      <w:r>
        <w:t>]</w:t>
      </w:r>
    </w:p>
    <w:p w14:paraId="2F527AC2" w14:textId="15FEC05B" w:rsidR="00303684" w:rsidRDefault="0000526A" w:rsidP="00CC1F3B">
      <w:pPr>
        <w:pStyle w:val="TitleSection"/>
      </w:pPr>
      <w:r>
        <w:lastRenderedPageBreak/>
        <w:t>A BILL</w:t>
      </w:r>
      <w:r w:rsidR="00257FC4">
        <w:t xml:space="preserve"> to</w:t>
      </w:r>
      <w:r w:rsidR="00464895">
        <w:t xml:space="preserve"> amend the Code of West Virginia, 1931, as amended, by adding a new article, designated </w:t>
      </w:r>
      <w:r w:rsidR="00464895" w:rsidRPr="00464895">
        <w:t>§16-2S-1</w:t>
      </w:r>
      <w:r w:rsidR="00464895">
        <w:t xml:space="preserve">, relating to the Rural Mobile Health Services Program Act; providing a short title; establishing the program; permitting the Department of Health to award grants; setting out eligible services and expenditures; creating grant preferences; and creating a new fund. </w:t>
      </w:r>
    </w:p>
    <w:p w14:paraId="0A3C370D" w14:textId="77777777" w:rsidR="00303684" w:rsidRDefault="00303684" w:rsidP="00CC1F3B">
      <w:pPr>
        <w:pStyle w:val="EnactingClause"/>
      </w:pPr>
      <w:r>
        <w:t>Be it enacted by the Legislature of West Virginia:</w:t>
      </w:r>
    </w:p>
    <w:p w14:paraId="4318A7A4" w14:textId="77777777" w:rsidR="003C6034" w:rsidRDefault="003C6034" w:rsidP="00CC1F3B">
      <w:pPr>
        <w:pStyle w:val="EnactingClause"/>
        <w:sectPr w:rsidR="003C6034" w:rsidSect="0012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810D54" w14:textId="6CC56A10" w:rsidR="001226A0" w:rsidRPr="001226A0" w:rsidRDefault="001226A0" w:rsidP="001226A0">
      <w:pPr>
        <w:pStyle w:val="ArticleHeading"/>
        <w:rPr>
          <w:u w:val="single"/>
        </w:rPr>
      </w:pPr>
      <w:r w:rsidRPr="001226A0">
        <w:rPr>
          <w:u w:val="single"/>
        </w:rPr>
        <w:t xml:space="preserve">Article 2S. Rural Mobile Health Services Program Act. </w:t>
      </w:r>
    </w:p>
    <w:p w14:paraId="0658D7D2" w14:textId="5EBFF7FF" w:rsidR="001675F1" w:rsidRPr="001675F1" w:rsidRDefault="001675F1" w:rsidP="001675F1">
      <w:pPr>
        <w:pStyle w:val="SectionHeading"/>
        <w:rPr>
          <w:u w:val="single"/>
        </w:rPr>
      </w:pPr>
      <w:r w:rsidRPr="001675F1">
        <w:rPr>
          <w:u w:val="single"/>
        </w:rPr>
        <w:t>§16-2</w:t>
      </w:r>
      <w:r w:rsidR="00464895">
        <w:rPr>
          <w:u w:val="single"/>
        </w:rPr>
        <w:t>S</w:t>
      </w:r>
      <w:r w:rsidRPr="001675F1">
        <w:rPr>
          <w:u w:val="single"/>
        </w:rPr>
        <w:t xml:space="preserve">-1. </w:t>
      </w:r>
      <w:bookmarkStart w:id="0" w:name="_Hlk219811656"/>
      <w:r w:rsidRPr="001675F1">
        <w:rPr>
          <w:u w:val="single"/>
        </w:rPr>
        <w:t>Rural Mobile Health Services Program</w:t>
      </w:r>
      <w:r w:rsidR="00464895">
        <w:rPr>
          <w:u w:val="single"/>
        </w:rPr>
        <w:t xml:space="preserve"> Act. </w:t>
      </w:r>
    </w:p>
    <w:bookmarkEnd w:id="0"/>
    <w:p w14:paraId="539F7C25" w14:textId="3D41EBAF" w:rsidR="001675F1" w:rsidRPr="001675F1" w:rsidRDefault="001675F1" w:rsidP="001675F1">
      <w:pPr>
        <w:pStyle w:val="SectionBody"/>
        <w:rPr>
          <w:u w:val="single"/>
        </w:rPr>
      </w:pPr>
      <w:r w:rsidRPr="001675F1">
        <w:rPr>
          <w:u w:val="single"/>
        </w:rPr>
        <w:t xml:space="preserve">(a) </w:t>
      </w:r>
      <w:r w:rsidRPr="001675F1">
        <w:rPr>
          <w:i/>
          <w:iCs/>
          <w:u w:val="single"/>
        </w:rPr>
        <w:t>Short title.</w:t>
      </w:r>
      <w:r w:rsidRPr="001675F1">
        <w:rPr>
          <w:u w:val="single"/>
        </w:rPr>
        <w:t xml:space="preserve"> – This section may be cited as the </w:t>
      </w:r>
      <w:r w:rsidR="00044FB2">
        <w:rPr>
          <w:u w:val="single"/>
        </w:rPr>
        <w:t>"</w:t>
      </w:r>
      <w:r w:rsidRPr="001675F1">
        <w:rPr>
          <w:u w:val="single"/>
        </w:rPr>
        <w:t>Rural Mobile Health Services Program</w:t>
      </w:r>
      <w:r w:rsidR="00464895">
        <w:rPr>
          <w:u w:val="single"/>
        </w:rPr>
        <w:t xml:space="preserve"> Act</w:t>
      </w:r>
      <w:r w:rsidR="00044FB2">
        <w:rPr>
          <w:u w:val="single"/>
        </w:rPr>
        <w:t>"</w:t>
      </w:r>
      <w:r w:rsidR="00464895">
        <w:rPr>
          <w:u w:val="single"/>
        </w:rPr>
        <w:t>.</w:t>
      </w:r>
    </w:p>
    <w:p w14:paraId="4D32EA30" w14:textId="77777777" w:rsidR="001675F1" w:rsidRPr="001675F1" w:rsidRDefault="001675F1" w:rsidP="001675F1">
      <w:pPr>
        <w:pStyle w:val="SectionBody"/>
        <w:rPr>
          <w:u w:val="single"/>
        </w:rPr>
      </w:pPr>
      <w:r w:rsidRPr="001675F1">
        <w:rPr>
          <w:u w:val="single"/>
        </w:rPr>
        <w:t xml:space="preserve">(b) </w:t>
      </w:r>
      <w:r w:rsidRPr="001675F1">
        <w:rPr>
          <w:i/>
          <w:iCs/>
          <w:u w:val="single"/>
        </w:rPr>
        <w:t>Rural Mobile Health Services Program established.</w:t>
      </w:r>
      <w:r w:rsidRPr="001675F1">
        <w:rPr>
          <w:u w:val="single"/>
        </w:rPr>
        <w:t xml:space="preserve"> –</w:t>
      </w:r>
    </w:p>
    <w:p w14:paraId="4457FD61" w14:textId="0E52F89F" w:rsidR="001675F1" w:rsidRPr="001675F1" w:rsidRDefault="001675F1" w:rsidP="001675F1">
      <w:pPr>
        <w:pStyle w:val="SectionBody"/>
        <w:rPr>
          <w:u w:val="single"/>
        </w:rPr>
      </w:pPr>
      <w:r w:rsidRPr="001675F1">
        <w:rPr>
          <w:u w:val="single"/>
        </w:rPr>
        <w:t>(1) There is hereby established within the Department of Health the Rural Mobile Health Services Program for the purpose of expanding access to essential health services in rural and underserved areas of the state.</w:t>
      </w:r>
    </w:p>
    <w:p w14:paraId="67F4FD07" w14:textId="72981D53" w:rsidR="001675F1" w:rsidRPr="001675F1" w:rsidRDefault="001675F1" w:rsidP="001675F1">
      <w:pPr>
        <w:pStyle w:val="SectionBody"/>
        <w:rPr>
          <w:u w:val="single"/>
        </w:rPr>
      </w:pPr>
      <w:r w:rsidRPr="001675F1">
        <w:rPr>
          <w:u w:val="single"/>
        </w:rPr>
        <w:t xml:space="preserve">(2) The Department of Health shall administer the program and may propose rules for legislative approval in accordance with §29A-3-1 </w:t>
      </w:r>
      <w:r w:rsidRPr="001675F1">
        <w:rPr>
          <w:i/>
          <w:iCs/>
          <w:u w:val="single"/>
        </w:rPr>
        <w:t>et seq.</w:t>
      </w:r>
      <w:r w:rsidRPr="001675F1">
        <w:rPr>
          <w:u w:val="single"/>
        </w:rPr>
        <w:t xml:space="preserve"> of this code as necessary to implement the provisions of this article.</w:t>
      </w:r>
    </w:p>
    <w:p w14:paraId="44E7C0CD" w14:textId="48E2D19D" w:rsidR="001675F1" w:rsidRPr="001675F1" w:rsidRDefault="001675F1" w:rsidP="001675F1">
      <w:pPr>
        <w:pStyle w:val="SectionBody"/>
        <w:rPr>
          <w:u w:val="single"/>
        </w:rPr>
      </w:pPr>
      <w:r w:rsidRPr="001675F1">
        <w:rPr>
          <w:u w:val="single"/>
        </w:rPr>
        <w:t xml:space="preserve">(c) </w:t>
      </w:r>
      <w:r w:rsidRPr="001675F1">
        <w:rPr>
          <w:i/>
          <w:iCs/>
          <w:u w:val="single"/>
        </w:rPr>
        <w:t xml:space="preserve">Grant awards; eligible applicants </w:t>
      </w:r>
      <w:r>
        <w:rPr>
          <w:i/>
          <w:iCs/>
          <w:u w:val="single"/>
        </w:rPr>
        <w:t>an</w:t>
      </w:r>
      <w:r w:rsidRPr="001675F1">
        <w:rPr>
          <w:i/>
          <w:iCs/>
          <w:u w:val="single"/>
        </w:rPr>
        <w:t>d services.</w:t>
      </w:r>
      <w:r w:rsidRPr="001675F1">
        <w:rPr>
          <w:u w:val="single"/>
        </w:rPr>
        <w:t xml:space="preserve"> –</w:t>
      </w:r>
    </w:p>
    <w:p w14:paraId="65A78937" w14:textId="55640DDC" w:rsidR="001675F1" w:rsidRPr="001675F1" w:rsidRDefault="001675F1" w:rsidP="001675F1">
      <w:pPr>
        <w:pStyle w:val="SectionBody"/>
        <w:rPr>
          <w:u w:val="single"/>
        </w:rPr>
      </w:pPr>
      <w:r w:rsidRPr="001675F1">
        <w:rPr>
          <w:u w:val="single"/>
        </w:rPr>
        <w:t>(1) The Department of Health shall award grants, subject to available appropriations, to eligible applicants to support the delivery of mobile health services, including but not limited to:</w:t>
      </w:r>
    </w:p>
    <w:p w14:paraId="4B7EEF7F" w14:textId="22785C18" w:rsidR="001675F1" w:rsidRPr="001675F1" w:rsidRDefault="001675F1" w:rsidP="001675F1">
      <w:pPr>
        <w:pStyle w:val="SectionBody"/>
        <w:rPr>
          <w:u w:val="single"/>
        </w:rPr>
      </w:pPr>
      <w:r w:rsidRPr="001675F1">
        <w:rPr>
          <w:u w:val="single"/>
        </w:rPr>
        <w:t>(i) Mobile primary care clinics;</w:t>
      </w:r>
    </w:p>
    <w:p w14:paraId="7D1645D6" w14:textId="01A67195" w:rsidR="001675F1" w:rsidRPr="001675F1" w:rsidRDefault="001675F1" w:rsidP="001675F1">
      <w:pPr>
        <w:pStyle w:val="SectionBody"/>
        <w:rPr>
          <w:u w:val="single"/>
        </w:rPr>
      </w:pPr>
      <w:r w:rsidRPr="001675F1">
        <w:rPr>
          <w:u w:val="single"/>
        </w:rPr>
        <w:t>(ii) Mobile mental and behavioral health services; and</w:t>
      </w:r>
    </w:p>
    <w:p w14:paraId="4DC2ACD1" w14:textId="0811BE78" w:rsidR="001675F1" w:rsidRPr="001675F1" w:rsidRDefault="001675F1" w:rsidP="001675F1">
      <w:pPr>
        <w:pStyle w:val="SectionBody"/>
        <w:rPr>
          <w:u w:val="single"/>
        </w:rPr>
      </w:pPr>
      <w:r w:rsidRPr="001675F1">
        <w:rPr>
          <w:u w:val="single"/>
        </w:rPr>
        <w:t>(iii) Mobile or school-based health clinics serving students and families.</w:t>
      </w:r>
    </w:p>
    <w:p w14:paraId="225048AE" w14:textId="61ACAA3A" w:rsidR="001675F1" w:rsidRPr="001675F1" w:rsidRDefault="001675F1" w:rsidP="001675F1">
      <w:pPr>
        <w:pStyle w:val="SectionBody"/>
        <w:rPr>
          <w:u w:val="single"/>
        </w:rPr>
      </w:pPr>
      <w:r w:rsidRPr="001675F1">
        <w:rPr>
          <w:u w:val="single"/>
        </w:rPr>
        <w:t>(2) Eligible applicants may include local health departments, federally qualified health centers, nonprofit health care providers, hospital systems, boards of education, or other entities approved by the department.</w:t>
      </w:r>
    </w:p>
    <w:p w14:paraId="18D63598" w14:textId="12BC5D81" w:rsidR="001675F1" w:rsidRPr="001675F1" w:rsidRDefault="001675F1" w:rsidP="001675F1">
      <w:pPr>
        <w:pStyle w:val="SectionBody"/>
        <w:rPr>
          <w:u w:val="single"/>
        </w:rPr>
      </w:pPr>
      <w:r w:rsidRPr="001675F1">
        <w:rPr>
          <w:u w:val="single"/>
        </w:rPr>
        <w:t xml:space="preserve">(d) </w:t>
      </w:r>
      <w:r w:rsidRPr="001675F1">
        <w:rPr>
          <w:i/>
          <w:iCs/>
          <w:u w:val="single"/>
        </w:rPr>
        <w:t>Eligible expenditures.</w:t>
      </w:r>
      <w:r w:rsidRPr="001675F1">
        <w:rPr>
          <w:u w:val="single"/>
        </w:rPr>
        <w:t xml:space="preserve"> – Grant funds awarded under this program may be used for, but are not limited to, the following expenditures:</w:t>
      </w:r>
    </w:p>
    <w:p w14:paraId="6CDBDD4C" w14:textId="04B9A08F" w:rsidR="001675F1" w:rsidRPr="001675F1" w:rsidRDefault="001675F1" w:rsidP="001675F1">
      <w:pPr>
        <w:pStyle w:val="SectionBody"/>
        <w:rPr>
          <w:u w:val="single"/>
        </w:rPr>
      </w:pPr>
      <w:r w:rsidRPr="001675F1">
        <w:rPr>
          <w:u w:val="single"/>
        </w:rPr>
        <w:t>(1) Acquisition, operation, or expansion of mobile health units and related medical equipment;</w:t>
      </w:r>
    </w:p>
    <w:p w14:paraId="3DA08F09" w14:textId="47F5DC2E" w:rsidR="001675F1" w:rsidRPr="001675F1" w:rsidRDefault="001675F1" w:rsidP="001675F1">
      <w:pPr>
        <w:pStyle w:val="SectionBody"/>
        <w:rPr>
          <w:u w:val="single"/>
        </w:rPr>
      </w:pPr>
      <w:r w:rsidRPr="001675F1">
        <w:rPr>
          <w:u w:val="single"/>
        </w:rPr>
        <w:t>(2) Telehealth infrastructure, technology, and equipment, including hardware, software, broadband connectivity, and secure communication platforms, for use in schools and community centers; and</w:t>
      </w:r>
    </w:p>
    <w:p w14:paraId="29ADE37D" w14:textId="32056B0C" w:rsidR="001675F1" w:rsidRPr="001675F1" w:rsidRDefault="001675F1" w:rsidP="001675F1">
      <w:pPr>
        <w:pStyle w:val="SectionBody"/>
        <w:rPr>
          <w:u w:val="single"/>
        </w:rPr>
      </w:pPr>
      <w:r w:rsidRPr="001675F1">
        <w:rPr>
          <w:u w:val="single"/>
        </w:rPr>
        <w:t>(3) Staffing, training, and administrative costs directly related to the provision of mobile or telehealth services, as determined by the department.</w:t>
      </w:r>
    </w:p>
    <w:p w14:paraId="5846CF8A" w14:textId="1B45F0F4" w:rsidR="001675F1" w:rsidRPr="001675F1" w:rsidRDefault="001675F1" w:rsidP="001675F1">
      <w:pPr>
        <w:pStyle w:val="SectionBody"/>
        <w:rPr>
          <w:u w:val="single"/>
        </w:rPr>
      </w:pPr>
      <w:r w:rsidRPr="001675F1">
        <w:rPr>
          <w:u w:val="single"/>
        </w:rPr>
        <w:t xml:space="preserve">(e) </w:t>
      </w:r>
      <w:r w:rsidRPr="001675F1">
        <w:rPr>
          <w:i/>
          <w:iCs/>
          <w:u w:val="single"/>
        </w:rPr>
        <w:t>Grant preferences.</w:t>
      </w:r>
      <w:r w:rsidRPr="001675F1">
        <w:rPr>
          <w:u w:val="single"/>
        </w:rPr>
        <w:t xml:space="preserve"> -- In awarding grants under this program, the Department of Health shall give preference to applications that demonstrate regional or countywide collaboration, including partnerships involving one or more of the following:</w:t>
      </w:r>
    </w:p>
    <w:p w14:paraId="7B4DEC2A" w14:textId="2FD14D8D" w:rsidR="001675F1" w:rsidRDefault="001675F1" w:rsidP="001675F1">
      <w:pPr>
        <w:pStyle w:val="SectionBody"/>
        <w:rPr>
          <w:u w:val="single"/>
        </w:rPr>
      </w:pPr>
      <w:r w:rsidRPr="001675F1">
        <w:rPr>
          <w:u w:val="single"/>
        </w:rPr>
        <w:t>(1) Local or regional health departments;</w:t>
      </w:r>
    </w:p>
    <w:p w14:paraId="5A841F7A" w14:textId="093230A7" w:rsidR="00464895" w:rsidRPr="001675F1" w:rsidRDefault="00464895" w:rsidP="001675F1">
      <w:pPr>
        <w:pStyle w:val="SectionBody"/>
        <w:rPr>
          <w:u w:val="single"/>
        </w:rPr>
      </w:pPr>
      <w:r>
        <w:rPr>
          <w:u w:val="single"/>
        </w:rPr>
        <w:t xml:space="preserve">(2) Have an existing mobile health clinic; </w:t>
      </w:r>
    </w:p>
    <w:p w14:paraId="7769FF97" w14:textId="4806B4DF" w:rsidR="001675F1" w:rsidRPr="001675F1" w:rsidRDefault="001675F1" w:rsidP="001675F1">
      <w:pPr>
        <w:pStyle w:val="SectionBody"/>
        <w:rPr>
          <w:u w:val="single"/>
        </w:rPr>
      </w:pPr>
      <w:r w:rsidRPr="001675F1">
        <w:rPr>
          <w:u w:val="single"/>
        </w:rPr>
        <w:t>(</w:t>
      </w:r>
      <w:r w:rsidR="00464895">
        <w:rPr>
          <w:u w:val="single"/>
        </w:rPr>
        <w:t>3</w:t>
      </w:r>
      <w:r w:rsidRPr="001675F1">
        <w:rPr>
          <w:u w:val="single"/>
        </w:rPr>
        <w:t xml:space="preserve">) County or regional boards of education; </w:t>
      </w:r>
      <w:r w:rsidR="00464895">
        <w:rPr>
          <w:u w:val="single"/>
        </w:rPr>
        <w:t>and</w:t>
      </w:r>
    </w:p>
    <w:p w14:paraId="23E42814" w14:textId="58B6F170" w:rsidR="008736AA" w:rsidRDefault="001675F1" w:rsidP="001675F1">
      <w:pPr>
        <w:pStyle w:val="SectionBody"/>
        <w:rPr>
          <w:u w:val="single"/>
        </w:rPr>
      </w:pPr>
      <w:r w:rsidRPr="001675F1">
        <w:rPr>
          <w:u w:val="single"/>
        </w:rPr>
        <w:t>(</w:t>
      </w:r>
      <w:r w:rsidR="00464895">
        <w:rPr>
          <w:u w:val="single"/>
        </w:rPr>
        <w:t>4</w:t>
      </w:r>
      <w:r w:rsidRPr="001675F1">
        <w:rPr>
          <w:u w:val="single"/>
        </w:rPr>
        <w:t>) County commissions or other local governing bodies.</w:t>
      </w:r>
    </w:p>
    <w:p w14:paraId="6AABCADB" w14:textId="5E2D370B" w:rsidR="00464895" w:rsidRDefault="00464895" w:rsidP="001675F1">
      <w:pPr>
        <w:pStyle w:val="SectionBody"/>
        <w:rPr>
          <w:u w:val="single"/>
        </w:rPr>
      </w:pPr>
      <w:r>
        <w:rPr>
          <w:u w:val="single"/>
        </w:rPr>
        <w:t xml:space="preserve">(f) </w:t>
      </w:r>
      <w:r w:rsidRPr="00464895">
        <w:rPr>
          <w:i/>
          <w:iCs/>
          <w:u w:val="single"/>
        </w:rPr>
        <w:t>Creation of the Rural Mobile Health Services Program fund.</w:t>
      </w:r>
      <w:r>
        <w:rPr>
          <w:u w:val="single"/>
        </w:rPr>
        <w:t xml:space="preserve"> – The Rural Mobile Health Services Program fund is hereby created. The Department of Health shall administer the fund to pay for the Rural Mobile Health Services Program. The Department of Health may seek grants and other funding sources to add to the fund. </w:t>
      </w:r>
    </w:p>
    <w:p w14:paraId="02E25785" w14:textId="77777777" w:rsidR="00C33014" w:rsidRDefault="00C33014" w:rsidP="00CC1F3B">
      <w:pPr>
        <w:pStyle w:val="Note"/>
      </w:pPr>
    </w:p>
    <w:p w14:paraId="40442B09" w14:textId="2B6C6DA0" w:rsidR="006865E9" w:rsidRDefault="00CF1DCA" w:rsidP="00CC1F3B">
      <w:pPr>
        <w:pStyle w:val="Note"/>
      </w:pPr>
      <w:r>
        <w:t>NOTE: The</w:t>
      </w:r>
      <w:r w:rsidR="006865E9">
        <w:t xml:space="preserve"> purpose of this bill is to </w:t>
      </w:r>
      <w:r w:rsidR="00464895">
        <w:t xml:space="preserve">create the Rural Mobile Health Services Program Act. </w:t>
      </w:r>
    </w:p>
    <w:p w14:paraId="1233C81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226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5E73" w14:textId="77777777" w:rsidR="001675F1" w:rsidRPr="00B844FE" w:rsidRDefault="001675F1" w:rsidP="00B844FE">
      <w:r>
        <w:separator/>
      </w:r>
    </w:p>
  </w:endnote>
  <w:endnote w:type="continuationSeparator" w:id="0">
    <w:p w14:paraId="537275E3" w14:textId="77777777" w:rsidR="001675F1" w:rsidRPr="00B844FE" w:rsidRDefault="001675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E86F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F97D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5CC1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2FC4" w14:textId="77777777" w:rsidR="00044FB2" w:rsidRDefault="00044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3BCE" w14:textId="77777777" w:rsidR="001675F1" w:rsidRPr="00B844FE" w:rsidRDefault="001675F1" w:rsidP="00B844FE">
      <w:r>
        <w:separator/>
      </w:r>
    </w:p>
  </w:footnote>
  <w:footnote w:type="continuationSeparator" w:id="0">
    <w:p w14:paraId="43FF8E70" w14:textId="77777777" w:rsidR="001675F1" w:rsidRPr="00B844FE" w:rsidRDefault="001675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6B9B" w14:textId="77777777" w:rsidR="002A0269" w:rsidRPr="00B844FE" w:rsidRDefault="003E00C8">
    <w:pPr>
      <w:pStyle w:val="Header"/>
    </w:pPr>
    <w:sdt>
      <w:sdtPr>
        <w:id w:val="-684364211"/>
        <w:placeholder>
          <w:docPart w:val="67F652A6024740159A6E28C6F5A8B4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F652A6024740159A6E28C6F5A8B4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0DC9" w14:textId="53109E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675F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75F1">
          <w:rPr>
            <w:sz w:val="22"/>
            <w:szCs w:val="22"/>
          </w:rPr>
          <w:t>2026R2678</w:t>
        </w:r>
      </w:sdtContent>
    </w:sdt>
  </w:p>
  <w:p w14:paraId="70A097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3D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F1"/>
    <w:rsid w:val="0000526A"/>
    <w:rsid w:val="00044FB2"/>
    <w:rsid w:val="000573A9"/>
    <w:rsid w:val="00085D22"/>
    <w:rsid w:val="00093AB0"/>
    <w:rsid w:val="000C5C77"/>
    <w:rsid w:val="000D66B1"/>
    <w:rsid w:val="000E3912"/>
    <w:rsid w:val="0010070F"/>
    <w:rsid w:val="001226A0"/>
    <w:rsid w:val="0015112E"/>
    <w:rsid w:val="001552E7"/>
    <w:rsid w:val="001566B4"/>
    <w:rsid w:val="001675F1"/>
    <w:rsid w:val="001A66B7"/>
    <w:rsid w:val="001C279E"/>
    <w:rsid w:val="001D459E"/>
    <w:rsid w:val="001E4E89"/>
    <w:rsid w:val="0020151F"/>
    <w:rsid w:val="00211F02"/>
    <w:rsid w:val="0022348D"/>
    <w:rsid w:val="00257FC4"/>
    <w:rsid w:val="0027011C"/>
    <w:rsid w:val="00274200"/>
    <w:rsid w:val="00275740"/>
    <w:rsid w:val="00291DE1"/>
    <w:rsid w:val="002A0269"/>
    <w:rsid w:val="00303684"/>
    <w:rsid w:val="003143F5"/>
    <w:rsid w:val="00314854"/>
    <w:rsid w:val="00394191"/>
    <w:rsid w:val="003C51CD"/>
    <w:rsid w:val="003C6034"/>
    <w:rsid w:val="003E00C8"/>
    <w:rsid w:val="00400B5C"/>
    <w:rsid w:val="004368E0"/>
    <w:rsid w:val="00464895"/>
    <w:rsid w:val="004C13DD"/>
    <w:rsid w:val="004C4B17"/>
    <w:rsid w:val="004D3ABE"/>
    <w:rsid w:val="004E3441"/>
    <w:rsid w:val="00500579"/>
    <w:rsid w:val="00572702"/>
    <w:rsid w:val="005A5366"/>
    <w:rsid w:val="005E1971"/>
    <w:rsid w:val="006369EB"/>
    <w:rsid w:val="00637E73"/>
    <w:rsid w:val="006865E9"/>
    <w:rsid w:val="00686E9A"/>
    <w:rsid w:val="00691F3E"/>
    <w:rsid w:val="00694BFB"/>
    <w:rsid w:val="006A106B"/>
    <w:rsid w:val="006C523D"/>
    <w:rsid w:val="006D4036"/>
    <w:rsid w:val="00766AD0"/>
    <w:rsid w:val="007A5259"/>
    <w:rsid w:val="007A7081"/>
    <w:rsid w:val="007E0649"/>
    <w:rsid w:val="007F1CF5"/>
    <w:rsid w:val="00834EDE"/>
    <w:rsid w:val="008736AA"/>
    <w:rsid w:val="008D275D"/>
    <w:rsid w:val="00946186"/>
    <w:rsid w:val="00980327"/>
    <w:rsid w:val="00986478"/>
    <w:rsid w:val="009B5557"/>
    <w:rsid w:val="009F1067"/>
    <w:rsid w:val="009F123F"/>
    <w:rsid w:val="00A31E01"/>
    <w:rsid w:val="00A527AD"/>
    <w:rsid w:val="00A718CF"/>
    <w:rsid w:val="00AA069B"/>
    <w:rsid w:val="00AC2EB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86A6B"/>
  <w15:chartTrackingRefBased/>
  <w15:docId w15:val="{2833D208-1EFE-42ED-BD6D-DFD51D99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E60B38803748ED9211147FCD0E1EE4"/>
        <w:category>
          <w:name w:val="General"/>
          <w:gallery w:val="placeholder"/>
        </w:category>
        <w:types>
          <w:type w:val="bbPlcHdr"/>
        </w:types>
        <w:behaviors>
          <w:behavior w:val="content"/>
        </w:behaviors>
        <w:guid w:val="{D1B8BED7-475B-4C84-9BEB-1C3F544ABAAD}"/>
      </w:docPartPr>
      <w:docPartBody>
        <w:p w:rsidR="00394B9E" w:rsidRDefault="00394B9E">
          <w:pPr>
            <w:pStyle w:val="A1E60B38803748ED9211147FCD0E1EE4"/>
          </w:pPr>
          <w:r w:rsidRPr="00B844FE">
            <w:t>Prefix Text</w:t>
          </w:r>
        </w:p>
      </w:docPartBody>
    </w:docPart>
    <w:docPart>
      <w:docPartPr>
        <w:name w:val="67F652A6024740159A6E28C6F5A8B4DF"/>
        <w:category>
          <w:name w:val="General"/>
          <w:gallery w:val="placeholder"/>
        </w:category>
        <w:types>
          <w:type w:val="bbPlcHdr"/>
        </w:types>
        <w:behaviors>
          <w:behavior w:val="content"/>
        </w:behaviors>
        <w:guid w:val="{1BF25910-A2D0-431C-BD80-FD2C8D14D629}"/>
      </w:docPartPr>
      <w:docPartBody>
        <w:p w:rsidR="00394B9E" w:rsidRDefault="00394B9E">
          <w:pPr>
            <w:pStyle w:val="67F652A6024740159A6E28C6F5A8B4DF"/>
          </w:pPr>
          <w:r w:rsidRPr="00B844FE">
            <w:t>[Type here]</w:t>
          </w:r>
        </w:p>
      </w:docPartBody>
    </w:docPart>
    <w:docPart>
      <w:docPartPr>
        <w:name w:val="B1712A7E3DE54284B14F11AD508A458B"/>
        <w:category>
          <w:name w:val="General"/>
          <w:gallery w:val="placeholder"/>
        </w:category>
        <w:types>
          <w:type w:val="bbPlcHdr"/>
        </w:types>
        <w:behaviors>
          <w:behavior w:val="content"/>
        </w:behaviors>
        <w:guid w:val="{B3750F7F-27C5-4E3D-9CC0-2F93D344CAFE}"/>
      </w:docPartPr>
      <w:docPartBody>
        <w:p w:rsidR="00394B9E" w:rsidRDefault="00394B9E">
          <w:pPr>
            <w:pStyle w:val="B1712A7E3DE54284B14F11AD508A458B"/>
          </w:pPr>
          <w:r w:rsidRPr="00B844FE">
            <w:t>Number</w:t>
          </w:r>
        </w:p>
      </w:docPartBody>
    </w:docPart>
    <w:docPart>
      <w:docPartPr>
        <w:name w:val="203C00AF259148DE8CF53FF843B5E069"/>
        <w:category>
          <w:name w:val="General"/>
          <w:gallery w:val="placeholder"/>
        </w:category>
        <w:types>
          <w:type w:val="bbPlcHdr"/>
        </w:types>
        <w:behaviors>
          <w:behavior w:val="content"/>
        </w:behaviors>
        <w:guid w:val="{0138A26F-9B06-4922-A94B-63E0BA24EEBF}"/>
      </w:docPartPr>
      <w:docPartBody>
        <w:p w:rsidR="00394B9E" w:rsidRDefault="00394B9E">
          <w:pPr>
            <w:pStyle w:val="203C00AF259148DE8CF53FF843B5E069"/>
          </w:pPr>
          <w:r w:rsidRPr="00B844FE">
            <w:t>Enter Sponsors Here</w:t>
          </w:r>
        </w:p>
      </w:docPartBody>
    </w:docPart>
    <w:docPart>
      <w:docPartPr>
        <w:name w:val="00326E3572594195BC9C50BE9390FDF1"/>
        <w:category>
          <w:name w:val="General"/>
          <w:gallery w:val="placeholder"/>
        </w:category>
        <w:types>
          <w:type w:val="bbPlcHdr"/>
        </w:types>
        <w:behaviors>
          <w:behavior w:val="content"/>
        </w:behaviors>
        <w:guid w:val="{919E0A6B-BF9D-40C5-A214-65336A6C9410}"/>
      </w:docPartPr>
      <w:docPartBody>
        <w:p w:rsidR="00394B9E" w:rsidRDefault="00394B9E">
          <w:pPr>
            <w:pStyle w:val="00326E3572594195BC9C50BE9390FD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9E"/>
    <w:rsid w:val="000D66B1"/>
    <w:rsid w:val="001E4E89"/>
    <w:rsid w:val="00291DE1"/>
    <w:rsid w:val="00394B9E"/>
    <w:rsid w:val="009F123F"/>
    <w:rsid w:val="00AC2EBB"/>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E60B38803748ED9211147FCD0E1EE4">
    <w:name w:val="A1E60B38803748ED9211147FCD0E1EE4"/>
  </w:style>
  <w:style w:type="paragraph" w:customStyle="1" w:styleId="67F652A6024740159A6E28C6F5A8B4DF">
    <w:name w:val="67F652A6024740159A6E28C6F5A8B4DF"/>
  </w:style>
  <w:style w:type="paragraph" w:customStyle="1" w:styleId="B1712A7E3DE54284B14F11AD508A458B">
    <w:name w:val="B1712A7E3DE54284B14F11AD508A458B"/>
  </w:style>
  <w:style w:type="paragraph" w:customStyle="1" w:styleId="203C00AF259148DE8CF53FF843B5E069">
    <w:name w:val="203C00AF259148DE8CF53FF843B5E069"/>
  </w:style>
  <w:style w:type="character" w:styleId="PlaceholderText">
    <w:name w:val="Placeholder Text"/>
    <w:basedOn w:val="DefaultParagraphFont"/>
    <w:uiPriority w:val="99"/>
    <w:semiHidden/>
    <w:rPr>
      <w:color w:val="808080"/>
    </w:rPr>
  </w:style>
  <w:style w:type="paragraph" w:customStyle="1" w:styleId="00326E3572594195BC9C50BE9390FDF1">
    <w:name w:val="00326E3572594195BC9C50BE9390F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2026-01-30T20:13:00Z</dcterms:created>
  <dcterms:modified xsi:type="dcterms:W3CDTF">2026-01-30T20:13:00Z</dcterms:modified>
</cp:coreProperties>
</file>